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ТАБЛИЦА ДОЛГОВ ПЕРЕД БАНКРОТСТВОМ</w:t>
      </w:r>
    </w:p>
    <w:p>
      <w:pPr>
        <w:jc w:val="both"/>
      </w:pPr>
    </w:p>
    <w:p>
      <w:pPr>
        <w:jc w:val="both"/>
        <w:ind w:left="0" w:firstLine="709"/>
      </w:pPr>
      <w:r>
        <w:t xml:space="preserve">Одна строка — один долг, и свой, и унаследованный. Сначала вся картина долгов, потом решение: МФЦ, суд или другой путь.</w:t>
      </w:r>
    </w:p>
    <w:p>
      <w:pPr>
        <w:jc w:val="both"/>
      </w:pPr>
    </w:p>
    <w:tbl>
      <w:tblPr>
        <w:tblW w:w="15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w="1376" w:type="dxa"/>
          </w:tcPr>
          <w:p>
            <w:r>
              <w:rPr>
                <w:b/>
                <w:sz w:val="18"/>
              </w:rPr>
              <w:t xml:space="preserve">№</w:t>
            </w:r>
          </w:p>
        </w:tc>
        <w:tc>
          <w:tcPr>
            <w:tcW w:w="1376" w:type="dxa"/>
          </w:tcPr>
          <w:p>
            <w:r>
              <w:rPr>
                <w:b/>
                <w:sz w:val="18"/>
              </w:rPr>
              <w:t xml:space="preserve">Чей долг</w:t>
            </w:r>
          </w:p>
        </w:tc>
        <w:tc>
          <w:tcPr>
            <w:tcW w:w="1376" w:type="dxa"/>
          </w:tcPr>
          <w:p>
            <w:r>
              <w:rPr>
                <w:b/>
                <w:sz w:val="18"/>
              </w:rPr>
              <w:t xml:space="preserve">Кредитор (и первоначальный, если долг продан)</w:t>
            </w:r>
          </w:p>
        </w:tc>
        <w:tc>
          <w:tcPr>
            <w:tcW w:w="1376" w:type="dxa"/>
          </w:tcPr>
          <w:p>
            <w:r>
              <w:rPr>
                <w:b/>
                <w:sz w:val="18"/>
              </w:rPr>
              <w:t xml:space="preserve">Сумма</w:t>
            </w:r>
          </w:p>
        </w:tc>
        <w:tc>
          <w:tcPr>
            <w:tcW w:w="1376" w:type="dxa"/>
          </w:tcPr>
          <w:p>
            <w:r>
              <w:rPr>
                <w:b/>
                <w:sz w:val="18"/>
              </w:rPr>
              <w:t xml:space="preserve">Исполнительный документ</w:t>
            </w:r>
          </w:p>
        </w:tc>
        <w:tc>
          <w:tcPr>
            <w:tcW w:w="1376" w:type="dxa"/>
          </w:tcPr>
          <w:p>
            <w:r>
              <w:rPr>
                <w:b/>
                <w:sz w:val="18"/>
              </w:rPr>
              <w:t xml:space="preserve">Дата выдачи</w:t>
            </w:r>
          </w:p>
        </w:tc>
        <w:tc>
          <w:tcPr>
            <w:tcW w:w="1376" w:type="dxa"/>
          </w:tcPr>
          <w:p>
            <w:r>
              <w:rPr>
                <w:b/>
                <w:sz w:val="18"/>
              </w:rPr>
              <w:t xml:space="preserve">Исполнительное производство, дата возбуждения</w:t>
            </w:r>
          </w:p>
        </w:tc>
        <w:tc>
          <w:tcPr>
            <w:tcW w:w="1376" w:type="dxa"/>
          </w:tcPr>
          <w:p>
            <w:r>
              <w:rPr>
                <w:b/>
                <w:sz w:val="18"/>
              </w:rPr>
              <w:t xml:space="preserve">Дата и основание окончания</w:t>
            </w:r>
          </w:p>
        </w:tc>
        <w:tc>
          <w:tcPr>
            <w:tcW w:w="1376" w:type="dxa"/>
          </w:tcPr>
          <w:p>
            <w:r>
              <w:rPr>
                <w:b/>
                <w:sz w:val="18"/>
              </w:rPr>
              <w:t xml:space="preserve">Повторно предъявить до</w:t>
            </w:r>
          </w:p>
        </w:tc>
        <w:tc>
          <w:tcPr>
            <w:tcW w:w="1376" w:type="dxa"/>
          </w:tcPr>
          <w:p>
            <w:r>
              <w:rPr>
                <w:b/>
                <w:sz w:val="18"/>
              </w:rPr>
              <w:t xml:space="preserve">После замены стороны</w:t>
            </w:r>
          </w:p>
        </w:tc>
        <w:tc>
          <w:tcPr>
            <w:tcW w:w="1376" w:type="dxa"/>
          </w:tcPr>
          <w:p>
            <w:r>
              <w:rPr>
                <w:b/>
                <w:sz w:val="18"/>
              </w:rPr>
              <w:t xml:space="preserve">Залог, страховка</w:t>
            </w:r>
          </w:p>
        </w:tc>
      </w:tr>
      <w:tr>
        <w:trPr>
          <w:trHeight w:val="567"/>
        </w:trPr>
        <w:tc>
          <w:tcPr>
            <w:tcW w:w="1376" w:type="dxa"/>
          </w:tcPr>
          <w:p>
            <w:r>
              <w:rPr>
                <w:sz w:val="18"/>
              </w:rPr>
              <w:t xml:space="preserve">пример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>унаследованный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>ПКО «Пример» (первоначально банк «Образец»)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>84 000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>судебный приказ № 2-000/2021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>12.03.2021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>№ 00000/21/28000-ИП от 05.05.2021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>20.11.2023, п. 4 ч. 1 ст. 46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>20.11.2026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>замена стороны не проводилась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>нет</w:t>
            </w:r>
          </w:p>
        </w:tc>
      </w:tr>
      <w:tr>
        <w:trPr>
          <w:trHeight w:val="567"/>
        </w:trPr>
        <w:tc>
          <w:tcPr>
            <w:tcW w:w="1376" w:type="dxa"/>
          </w:tcPr>
          <w:p>
            <w:r>
              <w:rPr>
                <w:sz w:val="18"/>
              </w:rPr>
              <w:t xml:space="preserve">1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rPr>
          <w:trHeight w:val="567"/>
        </w:trPr>
        <w:tc>
          <w:tcPr>
            <w:tcW w:w="1376" w:type="dxa"/>
          </w:tcPr>
          <w:p>
            <w:r>
              <w:rPr>
                <w:sz w:val="18"/>
              </w:rPr>
              <w:t xml:space="preserve">2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rPr>
          <w:trHeight w:val="567"/>
        </w:trPr>
        <w:tc>
          <w:tcPr>
            <w:tcW w:w="1376" w:type="dxa"/>
          </w:tcPr>
          <w:p>
            <w:r>
              <w:rPr>
                <w:sz w:val="18"/>
              </w:rPr>
              <w:t xml:space="preserve">3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rPr>
          <w:trHeight w:val="567"/>
        </w:trPr>
        <w:tc>
          <w:tcPr>
            <w:tcW w:w="1376" w:type="dxa"/>
          </w:tcPr>
          <w:p>
            <w:r>
              <w:rPr>
                <w:sz w:val="18"/>
              </w:rPr>
              <w:t xml:space="preserve">4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rPr>
          <w:trHeight w:val="567"/>
        </w:trPr>
        <w:tc>
          <w:tcPr>
            <w:tcW w:w="1376" w:type="dxa"/>
          </w:tcPr>
          <w:p>
            <w:r>
              <w:rPr>
                <w:sz w:val="18"/>
              </w:rPr>
              <w:t xml:space="preserve">5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rPr>
          <w:trHeight w:val="567"/>
        </w:trPr>
        <w:tc>
          <w:tcPr>
            <w:tcW w:w="1376" w:type="dxa"/>
          </w:tcPr>
          <w:p>
            <w:r>
              <w:rPr>
                <w:sz w:val="18"/>
              </w:rPr>
              <w:t xml:space="preserve">6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rPr>
          <w:trHeight w:val="567"/>
        </w:trPr>
        <w:tc>
          <w:tcPr>
            <w:tcW w:w="1376" w:type="dxa"/>
          </w:tcPr>
          <w:p>
            <w:r>
              <w:rPr>
                <w:sz w:val="18"/>
              </w:rPr>
              <w:t xml:space="preserve">7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rPr>
          <w:trHeight w:val="567"/>
        </w:trPr>
        <w:tc>
          <w:tcPr>
            <w:tcW w:w="1376" w:type="dxa"/>
          </w:tcPr>
          <w:p>
            <w:r>
              <w:rPr>
                <w:sz w:val="18"/>
              </w:rPr>
              <w:t xml:space="preserve">8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rPr>
          <w:trHeight w:val="567"/>
        </w:trPr>
        <w:tc>
          <w:tcPr>
            <w:tcW w:w="1376" w:type="dxa"/>
          </w:tcPr>
          <w:p>
            <w:r>
              <w:rPr>
                <w:sz w:val="18"/>
              </w:rPr>
              <w:t xml:space="preserve">9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rPr>
          <w:trHeight w:val="567"/>
        </w:trPr>
        <w:tc>
          <w:tcPr>
            <w:tcW w:w="1376" w:type="dxa"/>
          </w:tcPr>
          <w:p>
            <w:r>
              <w:rPr>
                <w:sz w:val="18"/>
              </w:rPr>
              <w:t xml:space="preserve">10</w:t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pPr>
        <w:jc w:val="both"/>
      </w:pPr>
    </w:p>
    <w:p>
      <w:pPr>
        <w:jc w:val="both"/>
        <w:ind w:left="0" w:firstLine="709"/>
      </w:pPr>
      <w:r>
        <w:t xml:space="preserve">Где брать данные:</w:t>
      </w:r>
    </w:p>
    <w:p>
      <w:pPr>
        <w:jc w:val="both"/>
      </w:pPr>
      <w:r>
        <w:t xml:space="preserve">- сайт ФССП, банк данных исполнительных производств;</w:t>
      </w:r>
    </w:p>
    <w:p>
      <w:pPr>
        <w:jc w:val="both"/>
      </w:pPr>
      <w:r>
        <w:t xml:space="preserve">- банки: кредитные досье, договоры, сведения о страховках;</w:t>
      </w:r>
    </w:p>
    <w:p>
      <w:pPr>
        <w:jc w:val="both"/>
      </w:pPr>
      <w:r>
        <w:t xml:space="preserve">- кредитная история: бесплатно два раза в год.</w:t>
      </w:r>
    </w:p>
    <w:p>
      <w:pPr>
        <w:jc w:val="both"/>
      </w:pPr>
    </w:p>
    <w:p>
      <w:pPr>
        <w:jc w:val="both"/>
        <w:ind w:left="0" w:firstLine="709"/>
      </w:pPr>
      <w:r>
        <w:t xml:space="preserve">Повторное предъявление: после окончания по п. 3 или 4 ч. 1 ст. 46 взыскатель может снова предъявить документ в течение трёх лет со дня возврата (ст. 21 и ч. 3 ст. 22 Закона об исполнительном производстве).</w:t>
      </w:r>
    </w:p>
    <w:p>
      <w:pPr>
        <w:jc w:val="both"/>
      </w:pPr>
    </w:p>
    <w:p>
      <w:pPr>
        <w:jc w:val="both"/>
        <w:ind w:left="0" w:firstLine="709"/>
      </w:pPr>
      <w:r>
        <w:t xml:space="preserve">Долг, которого нет в списке, не спишется, а повторно идти в МФЦ можно только через пять лет.</w:t>
      </w:r>
    </w:p>
    <w:sectPr>
      <w:pgSz w:w="16838" w:h="11906" w:orient="landscape"/>
      <w:pgMar w:top="850" w:right="850" w:bottom="850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